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4A0" w:firstRow="1" w:lastRow="0" w:firstColumn="1" w:lastColumn="0" w:noHBand="0" w:noVBand="1"/>
      </w:tblPr>
      <w:tblGrid>
        <w:gridCol w:w="9628"/>
      </w:tblGrid>
      <w:tr w:rsidR="00542EA4" w:rsidRPr="00E31C6F" w:rsidTr="00BF00ED">
        <w:tc>
          <w:tcPr>
            <w:tcW w:w="9628" w:type="dxa"/>
            <w:shd w:val="clear" w:color="auto" w:fill="auto"/>
          </w:tcPr>
          <w:p w:rsidR="00542EA4" w:rsidRPr="00E31C6F" w:rsidRDefault="00542EA4" w:rsidP="00BF00ED">
            <w:pPr>
              <w:shd w:val="clear" w:color="auto" w:fill="BDD6EE" w:themeFill="accent1" w:themeFillTint="66"/>
            </w:pPr>
            <w:r>
              <w:rPr>
                <w:b/>
              </w:rPr>
              <w:t>Linea di ricerca n.</w:t>
            </w:r>
            <w:r w:rsidR="003F27EE">
              <w:rPr>
                <w:b/>
              </w:rPr>
              <w:t xml:space="preserve"> </w:t>
            </w:r>
            <w:proofErr w:type="gramStart"/>
            <w:r>
              <w:rPr>
                <w:b/>
              </w:rPr>
              <w:t>5</w:t>
            </w:r>
            <w:r w:rsidRPr="00E31C6F">
              <w:rPr>
                <w:b/>
              </w:rPr>
              <w:t xml:space="preserve">:  </w:t>
            </w:r>
            <w:r>
              <w:rPr>
                <w:b/>
              </w:rPr>
              <w:t xml:space="preserve"> </w:t>
            </w:r>
            <w:proofErr w:type="gramEnd"/>
            <w:r w:rsidRPr="008E5E29">
              <w:rPr>
                <w:b/>
              </w:rPr>
              <w:t>Nuovi modelli organizzativo/gestionali per la ricerca sanitaria.</w:t>
            </w:r>
          </w:p>
        </w:tc>
      </w:tr>
      <w:tr w:rsidR="00542EA4" w:rsidRPr="00E31C6F" w:rsidTr="00BF00ED">
        <w:tc>
          <w:tcPr>
            <w:tcW w:w="9628" w:type="dxa"/>
            <w:shd w:val="clear" w:color="auto" w:fill="auto"/>
          </w:tcPr>
          <w:p w:rsidR="00542EA4" w:rsidRPr="00E31C6F" w:rsidRDefault="00542EA4" w:rsidP="00BF00ED">
            <w:pPr>
              <w:shd w:val="clear" w:color="auto" w:fill="BDD6EE" w:themeFill="accent1" w:themeFillTint="66"/>
            </w:pPr>
            <w:proofErr w:type="gramStart"/>
            <w:r w:rsidRPr="00E31C6F">
              <w:rPr>
                <w:b/>
              </w:rPr>
              <w:t>Coordinatori</w:t>
            </w:r>
            <w:r w:rsidRPr="00E31C6F">
              <w:t xml:space="preserve">: </w:t>
            </w:r>
            <w:r>
              <w:rPr>
                <w:b/>
              </w:rPr>
              <w:t xml:space="preserve">  </w:t>
            </w:r>
            <w:proofErr w:type="gramEnd"/>
            <w:r>
              <w:rPr>
                <w:b/>
              </w:rPr>
              <w:t xml:space="preserve"> Paola Del Prete</w:t>
            </w:r>
            <w:r w:rsidR="003F27EE">
              <w:rPr>
                <w:b/>
              </w:rPr>
              <w:t xml:space="preserve"> </w:t>
            </w:r>
            <w:r>
              <w:rPr>
                <w:b/>
              </w:rPr>
              <w:t>- Maria Grazia Chiofalo</w:t>
            </w:r>
          </w:p>
        </w:tc>
      </w:tr>
      <w:tr w:rsidR="00542EA4" w:rsidRPr="00E31C6F" w:rsidTr="00BF00ED">
        <w:tc>
          <w:tcPr>
            <w:tcW w:w="9628" w:type="dxa"/>
            <w:shd w:val="clear" w:color="auto" w:fill="auto"/>
          </w:tcPr>
          <w:p w:rsidR="00542EA4" w:rsidRDefault="00542EA4" w:rsidP="003F27EE">
            <w:pPr>
              <w:shd w:val="clear" w:color="auto" w:fill="BDD6EE" w:themeFill="accent1" w:themeFillTint="66"/>
              <w:jc w:val="both"/>
              <w:rPr>
                <w:b/>
              </w:rPr>
            </w:pPr>
            <w:r w:rsidRPr="00E31C6F">
              <w:rPr>
                <w:b/>
              </w:rPr>
              <w:t>Descrizione attività</w:t>
            </w:r>
          </w:p>
          <w:p w:rsidR="00542EA4" w:rsidRDefault="00542EA4" w:rsidP="003F27EE">
            <w:pPr>
              <w:shd w:val="clear" w:color="auto" w:fill="BDD6EE" w:themeFill="accent1" w:themeFillTint="66"/>
              <w:jc w:val="both"/>
              <w:rPr>
                <w:b/>
              </w:rPr>
            </w:pPr>
          </w:p>
          <w:p w:rsidR="00542EA4" w:rsidRPr="00ED76B9" w:rsidRDefault="00542EA4" w:rsidP="003F27EE">
            <w:pPr>
              <w:shd w:val="clear" w:color="auto" w:fill="BDD6EE" w:themeFill="accent1" w:themeFillTint="66"/>
              <w:jc w:val="both"/>
            </w:pPr>
            <w:r>
              <w:t xml:space="preserve"> </w:t>
            </w:r>
          </w:p>
          <w:p w:rsidR="00542EA4" w:rsidRPr="005D47D0" w:rsidRDefault="00542EA4" w:rsidP="003F27EE">
            <w:pPr>
              <w:shd w:val="clear" w:color="auto" w:fill="BDD6EE" w:themeFill="accent1" w:themeFillTint="66"/>
              <w:jc w:val="both"/>
            </w:pPr>
            <w:r>
              <w:t xml:space="preserve"> </w:t>
            </w:r>
            <w:r w:rsidRPr="008E5E29">
              <w:t>Tale Programma intende sviluppare conoscenze sull'organizzazione dell'assistenza ai pazienti oncologici, volte ad individuare nuovi modelli, per il miglioramento della qualità dei servizi e dell'erogazione delle prestazioni sanitarie. In questo contesto s'intende dare particolare rilievo alla raccolta ed alla registrazione dei dati clinici, finalizzati all'elaborazione di analisi per la programmazione sanitaria,</w:t>
            </w:r>
            <w:r>
              <w:t xml:space="preserve"> </w:t>
            </w:r>
            <w:r w:rsidRPr="008E5E29">
              <w:t>per il monitoraggio dei LEA e per la razionalizzazione della spesa sanitaria, nonché, per migliorare la conoscenza dei fabbisogni. Questi risultati possono costituire elementi di valutazione per adottare opportune scelte di cura,</w:t>
            </w:r>
            <w:r>
              <w:t xml:space="preserve"> </w:t>
            </w:r>
            <w:r w:rsidRPr="008E5E29">
              <w:t>di indirizzo strategico e di investimento.</w:t>
            </w:r>
          </w:p>
          <w:p w:rsidR="00542EA4" w:rsidRPr="00E31C6F" w:rsidRDefault="00542EA4" w:rsidP="003F27EE">
            <w:pPr>
              <w:shd w:val="clear" w:color="auto" w:fill="BDD6EE" w:themeFill="accent1" w:themeFillTint="66"/>
              <w:jc w:val="both"/>
            </w:pPr>
            <w:r>
              <w:t xml:space="preserve"> </w:t>
            </w:r>
          </w:p>
          <w:p w:rsidR="00542EA4" w:rsidRPr="00E31C6F" w:rsidRDefault="00542EA4" w:rsidP="003F27EE">
            <w:pPr>
              <w:shd w:val="clear" w:color="auto" w:fill="BDD6EE" w:themeFill="accent1" w:themeFillTint="66"/>
              <w:jc w:val="both"/>
            </w:pPr>
          </w:p>
        </w:tc>
      </w:tr>
      <w:tr w:rsidR="00542EA4" w:rsidRPr="00E31C6F" w:rsidTr="00BF00ED">
        <w:tc>
          <w:tcPr>
            <w:tcW w:w="9628" w:type="dxa"/>
            <w:shd w:val="clear" w:color="auto" w:fill="auto"/>
          </w:tcPr>
          <w:p w:rsidR="00542EA4" w:rsidRDefault="00542EA4" w:rsidP="003F27EE">
            <w:pPr>
              <w:shd w:val="clear" w:color="auto" w:fill="BDD6EE" w:themeFill="accent1" w:themeFillTint="66"/>
              <w:jc w:val="both"/>
              <w:rPr>
                <w:b/>
              </w:rPr>
            </w:pPr>
            <w:r w:rsidRPr="00E31C6F">
              <w:rPr>
                <w:b/>
              </w:rPr>
              <w:t>Background</w:t>
            </w:r>
          </w:p>
          <w:p w:rsidR="00542EA4" w:rsidRDefault="00542EA4" w:rsidP="003F27EE">
            <w:pPr>
              <w:shd w:val="clear" w:color="auto" w:fill="BDD6EE" w:themeFill="accent1" w:themeFillTint="66"/>
              <w:jc w:val="both"/>
              <w:rPr>
                <w:b/>
              </w:rPr>
            </w:pPr>
          </w:p>
          <w:p w:rsidR="00542EA4" w:rsidRPr="00382C5B" w:rsidRDefault="00542EA4" w:rsidP="003F27EE">
            <w:pPr>
              <w:shd w:val="clear" w:color="auto" w:fill="BDD6EE" w:themeFill="accent1" w:themeFillTint="66"/>
              <w:jc w:val="both"/>
            </w:pPr>
            <w:r>
              <w:t xml:space="preserve"> </w:t>
            </w:r>
          </w:p>
          <w:p w:rsidR="00542EA4" w:rsidRPr="00E31C6F" w:rsidRDefault="00542EA4" w:rsidP="003F27EE">
            <w:pPr>
              <w:shd w:val="clear" w:color="auto" w:fill="BDD6EE" w:themeFill="accent1" w:themeFillTint="66"/>
              <w:jc w:val="both"/>
            </w:pPr>
            <w:r>
              <w:t xml:space="preserve"> </w:t>
            </w:r>
            <w:r w:rsidRPr="008E5E29">
              <w:t>Avendo recepito gli indirizzi del Nuovo Piano Nazionale Ricerca Sanitaria che condensa le linee programmatiche su cui orientare la ricerca sanitaria nazionale, coerentemente alle politiche Europee in ambito assistenziale, si ritiene inderogabile,</w:t>
            </w:r>
            <w:r>
              <w:t xml:space="preserve"> </w:t>
            </w:r>
            <w:r w:rsidRPr="008E5E29">
              <w:t>promuovere una cultura aziendale in cui la raccolta dei dati avviene con modalità differente e finalizzata al popolamento dei sistemi informativi nazionali, regionali o locali e anche per motivazioni legate all'attività di ricerca. L'incremento del volume di dati disponibili, la velocità e la varietà dei dati sempre crescente determina, l'esigenza di renderli fruibili ad analisi integrate, per valutazioni di tipo comparativo, di esito e di efficacia delle prestazioni, finalizzati ad un miglioramento continuo della qualità degli stessi.</w:t>
            </w:r>
            <w:r>
              <w:t xml:space="preserve"> </w:t>
            </w:r>
            <w:r w:rsidRPr="008E5E29">
              <w:t>Tale programma, pertanto rappresenta finanche un investimento per il futuro del nostro IRCCS quale strada per essere inseriti in reti e circuiti internazionali di cura e di ricerca.</w:t>
            </w:r>
          </w:p>
          <w:p w:rsidR="00542EA4" w:rsidRPr="00E31C6F" w:rsidRDefault="00542EA4" w:rsidP="003F27EE">
            <w:pPr>
              <w:shd w:val="clear" w:color="auto" w:fill="BDD6EE" w:themeFill="accent1" w:themeFillTint="66"/>
              <w:jc w:val="both"/>
            </w:pPr>
          </w:p>
          <w:p w:rsidR="00542EA4" w:rsidRPr="00E31C6F" w:rsidRDefault="00542EA4" w:rsidP="003F27EE">
            <w:pPr>
              <w:shd w:val="clear" w:color="auto" w:fill="BDD6EE" w:themeFill="accent1" w:themeFillTint="66"/>
              <w:jc w:val="both"/>
            </w:pPr>
            <w:r>
              <w:t xml:space="preserve"> </w:t>
            </w:r>
          </w:p>
          <w:p w:rsidR="00542EA4" w:rsidRPr="00E31C6F" w:rsidRDefault="00542EA4" w:rsidP="003F27EE">
            <w:pPr>
              <w:shd w:val="clear" w:color="auto" w:fill="BDD6EE" w:themeFill="accent1" w:themeFillTint="66"/>
              <w:jc w:val="both"/>
            </w:pPr>
          </w:p>
          <w:p w:rsidR="00542EA4" w:rsidRPr="005D47D0" w:rsidRDefault="00542EA4" w:rsidP="003F27EE">
            <w:pPr>
              <w:shd w:val="clear" w:color="auto" w:fill="BDD6EE" w:themeFill="accent1" w:themeFillTint="66"/>
              <w:jc w:val="both"/>
              <w:rPr>
                <w:b/>
              </w:rPr>
            </w:pPr>
            <w:r w:rsidRPr="005D47D0">
              <w:rPr>
                <w:b/>
              </w:rPr>
              <w:t>Razionale</w:t>
            </w:r>
          </w:p>
        </w:tc>
      </w:tr>
      <w:tr w:rsidR="00542EA4" w:rsidRPr="00E31C6F" w:rsidTr="00BF00ED">
        <w:tc>
          <w:tcPr>
            <w:tcW w:w="9628" w:type="dxa"/>
            <w:shd w:val="clear" w:color="auto" w:fill="auto"/>
          </w:tcPr>
          <w:p w:rsidR="00542EA4" w:rsidRPr="005D47D0" w:rsidRDefault="00542EA4" w:rsidP="003F27EE">
            <w:pPr>
              <w:shd w:val="clear" w:color="auto" w:fill="BDD6EE" w:themeFill="accent1" w:themeFillTint="66"/>
              <w:jc w:val="both"/>
            </w:pPr>
            <w:r>
              <w:t xml:space="preserve"> </w:t>
            </w:r>
            <w:r w:rsidRPr="008E5E29">
              <w:t>La ricerca in ambito assistenziale, intesa quale studio della migliore organizzazione possibile, contribuisce al miglioramento delle prospettive terapeutiche, in termini di sviluppo di strategie di trattamento e di efficacia, volte verso le diverse opzioni di cura disponibili e quindi verso una migliore qualità dell’assistenza;</w:t>
            </w:r>
            <w:r>
              <w:t xml:space="preserve"> </w:t>
            </w:r>
            <w:r w:rsidRPr="008E5E29">
              <w:t>essa implica un confronto continuo con le strutture sanitarie, anche a livello internazionale, che operano ai più alti livelli (OECI).Quindi, proprio per questo necessario confronto, si riconosce l'esigenza di un continuo processo di adeguamento e innovazione delle procedure, mentre diventa indispensabile attivare valutazioni di qualità,</w:t>
            </w:r>
            <w:r>
              <w:t xml:space="preserve"> </w:t>
            </w:r>
            <w:r w:rsidRPr="008E5E29">
              <w:t>efficienza e appropriatezza, che devono essere garantite da procedure semplici ed efficaci.</w:t>
            </w:r>
            <w:r>
              <w:t xml:space="preserve"> </w:t>
            </w:r>
            <w:r w:rsidRPr="008E5E29">
              <w:t>Pertanto, le tematiche prioritarie saranno, la promozione della prevenzione primaria e secondaria, la riorganizzazione dei servizi sanitari e della rete oncologica regionale di cui il nostro IRCCS è coordinatore.</w:t>
            </w:r>
          </w:p>
          <w:p w:rsidR="00542EA4" w:rsidRPr="00E31C6F" w:rsidRDefault="00542EA4" w:rsidP="003F27EE">
            <w:pPr>
              <w:shd w:val="clear" w:color="auto" w:fill="BDD6EE" w:themeFill="accent1" w:themeFillTint="66"/>
              <w:jc w:val="both"/>
            </w:pPr>
          </w:p>
        </w:tc>
      </w:tr>
      <w:tr w:rsidR="00542EA4" w:rsidRPr="00E31C6F" w:rsidTr="00BF00ED">
        <w:tc>
          <w:tcPr>
            <w:tcW w:w="9628" w:type="dxa"/>
            <w:shd w:val="clear" w:color="auto" w:fill="auto"/>
          </w:tcPr>
          <w:p w:rsidR="00542EA4" w:rsidRDefault="00542EA4" w:rsidP="003F27EE">
            <w:pPr>
              <w:shd w:val="clear" w:color="auto" w:fill="BDD6EE" w:themeFill="accent1" w:themeFillTint="66"/>
              <w:jc w:val="both"/>
              <w:rPr>
                <w:b/>
              </w:rPr>
            </w:pPr>
            <w:r w:rsidRPr="00E31C6F">
              <w:rPr>
                <w:b/>
              </w:rPr>
              <w:t>Obiettivi</w:t>
            </w:r>
          </w:p>
          <w:p w:rsidR="00542EA4" w:rsidRPr="008E5E29" w:rsidRDefault="00542EA4" w:rsidP="003F27EE">
            <w:pPr>
              <w:shd w:val="clear" w:color="auto" w:fill="BDD6EE" w:themeFill="accent1" w:themeFillTint="66"/>
              <w:jc w:val="both"/>
            </w:pPr>
            <w:r>
              <w:t xml:space="preserve"> </w:t>
            </w:r>
          </w:p>
          <w:p w:rsidR="00542EA4" w:rsidRPr="008E5E29" w:rsidRDefault="00542EA4" w:rsidP="003F27EE">
            <w:pPr>
              <w:shd w:val="clear" w:color="auto" w:fill="BDD6EE" w:themeFill="accent1" w:themeFillTint="66"/>
              <w:jc w:val="both"/>
            </w:pPr>
            <w:r w:rsidRPr="008E5E29">
              <w:t>- sperimentare sul campo mo</w:t>
            </w:r>
            <w:r w:rsidR="003F27EE">
              <w:t>delli assistenziali finalizzati</w:t>
            </w:r>
            <w:r w:rsidRPr="008E5E29">
              <w:t>:</w:t>
            </w:r>
            <w:r>
              <w:t xml:space="preserve"> </w:t>
            </w:r>
            <w:r w:rsidRPr="008E5E29">
              <w:t>allo sviluppo, al miglioramento continuo della qualità e della sicurezza dei servizi,</w:t>
            </w:r>
            <w:r>
              <w:t xml:space="preserve"> </w:t>
            </w:r>
            <w:r w:rsidRPr="008E5E29">
              <w:t>al miglioramento dei comportamenti professionali e dell'organizzazione dei servizi</w:t>
            </w:r>
          </w:p>
          <w:p w:rsidR="00542EA4" w:rsidRPr="008E5E29" w:rsidRDefault="00542EA4" w:rsidP="003F27EE">
            <w:pPr>
              <w:shd w:val="clear" w:color="auto" w:fill="BDD6EE" w:themeFill="accent1" w:themeFillTint="66"/>
              <w:jc w:val="both"/>
            </w:pPr>
            <w:r w:rsidRPr="008E5E29">
              <w:t xml:space="preserve">- adozione delle best </w:t>
            </w:r>
            <w:proofErr w:type="spellStart"/>
            <w:r w:rsidRPr="008E5E29">
              <w:t>practices</w:t>
            </w:r>
            <w:proofErr w:type="spellEnd"/>
            <w:r w:rsidRPr="008E5E29">
              <w:t xml:space="preserve"> già riconosciute.  </w:t>
            </w:r>
          </w:p>
          <w:p w:rsidR="00542EA4" w:rsidRPr="00382C5B" w:rsidRDefault="00542EA4" w:rsidP="003F27EE">
            <w:pPr>
              <w:shd w:val="clear" w:color="auto" w:fill="BDD6EE" w:themeFill="accent1" w:themeFillTint="66"/>
              <w:jc w:val="both"/>
            </w:pPr>
            <w:r>
              <w:t xml:space="preserve"> </w:t>
            </w:r>
          </w:p>
          <w:p w:rsidR="00542EA4" w:rsidRPr="00E31C6F" w:rsidRDefault="00542EA4" w:rsidP="003F27EE">
            <w:pPr>
              <w:shd w:val="clear" w:color="auto" w:fill="BDD6EE" w:themeFill="accent1" w:themeFillTint="66"/>
              <w:jc w:val="both"/>
              <w:rPr>
                <w:b/>
              </w:rPr>
            </w:pPr>
          </w:p>
          <w:p w:rsidR="00542EA4" w:rsidRPr="00E31C6F" w:rsidRDefault="00542EA4" w:rsidP="003F27EE">
            <w:pPr>
              <w:shd w:val="clear" w:color="auto" w:fill="BDD6EE" w:themeFill="accent1" w:themeFillTint="66"/>
              <w:jc w:val="both"/>
            </w:pPr>
            <w:r>
              <w:t xml:space="preserve"> </w:t>
            </w:r>
          </w:p>
          <w:p w:rsidR="00542EA4" w:rsidRPr="00E31C6F" w:rsidRDefault="00542EA4" w:rsidP="003F27EE">
            <w:pPr>
              <w:shd w:val="clear" w:color="auto" w:fill="BDD6EE" w:themeFill="accent1" w:themeFillTint="66"/>
              <w:jc w:val="both"/>
            </w:pPr>
          </w:p>
        </w:tc>
      </w:tr>
      <w:tr w:rsidR="00542EA4" w:rsidTr="00BF00ED">
        <w:tc>
          <w:tcPr>
            <w:tcW w:w="9628" w:type="dxa"/>
            <w:shd w:val="clear" w:color="auto" w:fill="auto"/>
          </w:tcPr>
          <w:p w:rsidR="00542EA4" w:rsidRDefault="00542EA4" w:rsidP="003F27EE">
            <w:pPr>
              <w:shd w:val="clear" w:color="auto" w:fill="BDD6EE" w:themeFill="accent1" w:themeFillTint="66"/>
              <w:jc w:val="both"/>
              <w:rPr>
                <w:b/>
              </w:rPr>
            </w:pPr>
            <w:r w:rsidRPr="00E31C6F">
              <w:rPr>
                <w:b/>
              </w:rPr>
              <w:t>Risultati attesi e misurabili nel triennio</w:t>
            </w:r>
          </w:p>
          <w:p w:rsidR="00542EA4" w:rsidRDefault="00542EA4" w:rsidP="003F27EE">
            <w:pPr>
              <w:shd w:val="clear" w:color="auto" w:fill="BDD6EE" w:themeFill="accent1" w:themeFillTint="66"/>
              <w:jc w:val="both"/>
              <w:rPr>
                <w:b/>
              </w:rPr>
            </w:pPr>
          </w:p>
          <w:p w:rsidR="00542EA4" w:rsidRPr="005D47D0" w:rsidRDefault="00542EA4" w:rsidP="003F27EE">
            <w:pPr>
              <w:shd w:val="clear" w:color="auto" w:fill="BDD6EE" w:themeFill="accent1" w:themeFillTint="66"/>
              <w:jc w:val="both"/>
            </w:pPr>
            <w:r w:rsidRPr="008E5E29">
              <w:t>1) abbattimento liste di attesa con trasferimento dei casi di minore complessità alle Strutture territoriali.</w:t>
            </w:r>
            <w:r w:rsidR="003F27EE">
              <w:t xml:space="preserve"> 2) </w:t>
            </w:r>
            <w:r w:rsidRPr="008E5E29">
              <w:t>sviluppo di nuovi PDTA e linee guida.</w:t>
            </w:r>
            <w:r w:rsidR="003F27EE">
              <w:t xml:space="preserve"> </w:t>
            </w:r>
            <w:r w:rsidRPr="008E5E29">
              <w:t>3)</w:t>
            </w:r>
            <w:r>
              <w:t xml:space="preserve"> </w:t>
            </w:r>
            <w:r w:rsidRPr="008E5E29">
              <w:t>cartella clinica elettronica.</w:t>
            </w:r>
            <w:r w:rsidR="003F27EE">
              <w:t xml:space="preserve"> </w:t>
            </w:r>
            <w:r w:rsidRPr="008E5E29">
              <w:t>4) certificazioni di qualità.</w:t>
            </w:r>
            <w:r w:rsidR="003F27EE">
              <w:t xml:space="preserve"> </w:t>
            </w:r>
            <w:bookmarkStart w:id="0" w:name="_GoBack"/>
            <w:bookmarkEnd w:id="0"/>
            <w:r w:rsidRPr="008E5E29">
              <w:t>5)</w:t>
            </w:r>
            <w:r>
              <w:t xml:space="preserve"> </w:t>
            </w:r>
            <w:r w:rsidRPr="008E5E29">
              <w:t>miglioramento dell'esito delle prestazioni valutato integrando i dati presenti negli archivi delle prestazioni assistenziali con l'anagrafe nazionale.</w:t>
            </w:r>
          </w:p>
          <w:p w:rsidR="00542EA4" w:rsidRPr="00E31C6F" w:rsidRDefault="00542EA4" w:rsidP="003F27EE">
            <w:pPr>
              <w:shd w:val="clear" w:color="auto" w:fill="BDD6EE" w:themeFill="accent1" w:themeFillTint="66"/>
              <w:jc w:val="both"/>
              <w:rPr>
                <w:b/>
              </w:rPr>
            </w:pPr>
          </w:p>
          <w:p w:rsidR="00542EA4" w:rsidRPr="00677CC6" w:rsidRDefault="00542EA4" w:rsidP="003F27EE">
            <w:pPr>
              <w:shd w:val="clear" w:color="auto" w:fill="BDD6EE" w:themeFill="accent1" w:themeFillTint="66"/>
              <w:jc w:val="both"/>
            </w:pPr>
            <w:r>
              <w:t xml:space="preserve"> </w:t>
            </w:r>
          </w:p>
          <w:p w:rsidR="00542EA4" w:rsidRDefault="00542EA4" w:rsidP="003F27EE">
            <w:pPr>
              <w:shd w:val="clear" w:color="auto" w:fill="BDD6EE" w:themeFill="accent1" w:themeFillTint="66"/>
              <w:jc w:val="both"/>
            </w:pPr>
          </w:p>
        </w:tc>
      </w:tr>
    </w:tbl>
    <w:p w:rsidR="00296F75" w:rsidRDefault="00296F75"/>
    <w:sectPr w:rsidR="00296F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78"/>
    <w:rsid w:val="00296F75"/>
    <w:rsid w:val="003F27EE"/>
    <w:rsid w:val="00494E78"/>
    <w:rsid w:val="00542E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A9AC1-1C7B-4DCA-B254-54CD6FB3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2E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4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Del Prete</dc:creator>
  <cp:keywords/>
  <dc:description/>
  <cp:lastModifiedBy>Alessandra Trocino</cp:lastModifiedBy>
  <cp:revision>3</cp:revision>
  <dcterms:created xsi:type="dcterms:W3CDTF">2020-08-12T11:11:00Z</dcterms:created>
  <dcterms:modified xsi:type="dcterms:W3CDTF">2020-08-12T14:41:00Z</dcterms:modified>
</cp:coreProperties>
</file>