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4826"/>
        <w:gridCol w:w="2700"/>
      </w:tblGrid>
      <w:tr>
        <w:trPr>
          <w:tblHeader/>
        </w:trPr>
        <w:tc>
          <w:tcPr>
            <w:tcW w:type="dxa" w:w="1500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shd w:fill="1D2850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Orario</w:t>
            </w:r>
          </w:p>
        </w:tc>
        <w:tc>
          <w:tcPr>
            <w:tcW w:type="dxa" w:w="4826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shd w:fill="1D2850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Intervento</w:t>
            </w:r>
          </w:p>
        </w:tc>
        <w:tc>
          <w:tcPr>
            <w:tcW w:type="dxa" w:w="2700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shd w:fill="1D2850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Relatore / Moderatori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shd w:fill="EEF2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08.30-09.00</w:t>
            </w:r>
          </w:p>
        </w:tc>
        <w:tc>
          <w:tcPr>
            <w:tcW w:type="dxa" w:w="4826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shd w:fill="EEF2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Registrazione partecipanti</w:t>
            </w:r>
          </w:p>
        </w:tc>
        <w:tc>
          <w:tcPr>
            <w:tcW w:type="dxa" w:w="2700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shd w:fill="EEF2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09.00-09.20</w:t>
            </w:r>
          </w:p>
        </w:tc>
        <w:tc>
          <w:tcPr>
            <w:tcW w:type="dxa" w:w="4826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Apertura istituzionale e saluti introduttivi. Presentazione dell’A_IATRIS/EATRIS Spotlight Programme e degli obiettivi del workshop</w:t>
            </w:r>
          </w:p>
        </w:tc>
        <w:tc>
          <w:tcPr>
            <w:tcW w:type="dxa" w:w="2700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Chair: Alfredo Budillon, Maria Carmela Piccirillo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09.20-09.50</w:t>
            </w:r>
          </w:p>
        </w:tc>
        <w:tc>
          <w:tcPr>
            <w:tcW w:type="dxa" w:w="4826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Dalla voce del paziente agli endpoint traslazionali: il ruolo dei PROs in oncologia</w:t>
            </w:r>
          </w:p>
        </w:tc>
        <w:tc>
          <w:tcPr>
            <w:tcW w:type="dxa" w:w="2700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Maria Carmela Piccirillo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09.50-10.20</w:t>
            </w:r>
          </w:p>
        </w:tc>
        <w:tc>
          <w:tcPr>
            <w:tcW w:type="dxa" w:w="4826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Innovazione diagnostica, accessibilità e riduzione delle disuguaglianze nei percorsi biomarker-driven</w:t>
            </w:r>
          </w:p>
        </w:tc>
        <w:tc>
          <w:tcPr>
            <w:tcW w:type="dxa" w:w="2700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Marco Salvatore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10.20-10.50</w:t>
            </w:r>
          </w:p>
        </w:tc>
        <w:tc>
          <w:tcPr>
            <w:tcW w:type="dxa" w:w="4826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Patient Voice, bisogni psicologici e patient engagement in oncologia</w:t>
            </w:r>
          </w:p>
        </w:tc>
        <w:tc>
          <w:tcPr>
            <w:tcW w:type="dxa" w:w="2700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Valentina Casasola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10.50-11.20</w:t>
            </w:r>
          </w:p>
        </w:tc>
        <w:tc>
          <w:tcPr>
            <w:tcW w:type="dxa" w:w="4826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Medicina di precisione e integrazione tra biomarcatori, dati clinici e Patient-Reported Outcomes</w:t>
            </w:r>
          </w:p>
        </w:tc>
        <w:tc>
          <w:tcPr>
            <w:tcW w:type="dxa" w:w="2700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Alessandro Rossi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11.20-11.40</w:t>
            </w:r>
          </w:p>
        </w:tc>
        <w:tc>
          <w:tcPr>
            <w:tcW w:type="dxa" w:w="4826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Discussione guidata e raccordo tra le sessioni del mattino</w:t>
            </w:r>
          </w:p>
        </w:tc>
        <w:tc>
          <w:tcPr>
            <w:tcW w:type="dxa" w:w="2700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Moderatori: Alfredo Budillon, Maria Carmela Piccirillo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shd w:fill="EEF2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11.40-12.10</w:t>
            </w:r>
          </w:p>
        </w:tc>
        <w:tc>
          <w:tcPr>
            <w:tcW w:type="dxa" w:w="4826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shd w:fill="EEF2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Coffee break obbligatorio</w:t>
            </w:r>
          </w:p>
        </w:tc>
        <w:tc>
          <w:tcPr>
            <w:tcW w:type="dxa" w:w="2700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shd w:fill="EEF2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12.10-12.40</w:t>
            </w:r>
          </w:p>
        </w:tc>
        <w:tc>
          <w:tcPr>
            <w:tcW w:type="dxa" w:w="4826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Ricerca clinica, collaborazione multicentrica e percorsi centrati sul paziente</w:t>
            </w:r>
          </w:p>
        </w:tc>
        <w:tc>
          <w:tcPr>
            <w:tcW w:type="dxa" w:w="2700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Francesco Perrone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12.40-13.10</w:t>
            </w:r>
          </w:p>
        </w:tc>
        <w:tc>
          <w:tcPr>
            <w:tcW w:type="dxa" w:w="4826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La prospettiva dei pazienti nei percorsi oncologici: accessibilità, qualità di vita e riduzione delle disparità</w:t>
            </w:r>
          </w:p>
        </w:tc>
        <w:tc>
          <w:tcPr>
            <w:tcW w:type="dxa" w:w="2700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Elisabetta Iannelli (intervento da remoto)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shd w:fill="EEF2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13.10-14.10</w:t>
            </w:r>
          </w:p>
        </w:tc>
        <w:tc>
          <w:tcPr>
            <w:tcW w:type="dxa" w:w="4826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shd w:fill="EEF2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Lunch obbligatorio</w:t>
            </w:r>
          </w:p>
        </w:tc>
        <w:tc>
          <w:tcPr>
            <w:tcW w:type="dxa" w:w="2700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shd w:fill="EEF2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14.10-14.40</w:t>
            </w:r>
          </w:p>
        </w:tc>
        <w:tc>
          <w:tcPr>
            <w:tcW w:type="dxa" w:w="4826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Tavola rotonda: equità, inclusione e accessibilità nei percorsi oncologici</w:t>
            </w:r>
          </w:p>
        </w:tc>
        <w:tc>
          <w:tcPr>
            <w:tcW w:type="dxa" w:w="2700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Partecipanti: Maria Carmela Piccirillo, relatori e discussant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Moderatori: Alfredo Budillon, Francesco Perrone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14.40-15.10</w:t>
            </w:r>
          </w:p>
        </w:tc>
        <w:tc>
          <w:tcPr>
            <w:tcW w:type="dxa" w:w="4826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Discussione interattiva: costruire percorsi centrati sul paziente</w:t>
            </w:r>
          </w:p>
          <w:p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z w:val="20"/>
                <w:szCs w:val="20"/>
              </w:rPr>
              <w:t xml:space="preserve">Output atteso: 3-5 raccomandazioni operative per integrare PROs, biomarcatori e patient engagement</w:t>
            </w:r>
          </w:p>
        </w:tc>
        <w:tc>
          <w:tcPr>
            <w:tcW w:type="dxa" w:w="2700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Moderatori: Alfredo Budillon, Francesco Perrone, Maria Carmela Piccirillo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15.10-15.50</w:t>
            </w:r>
          </w:p>
        </w:tc>
        <w:tc>
          <w:tcPr>
            <w:tcW w:type="dxa" w:w="4826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Lettura conclusiva: Patient-Reported Outcomes e valore delle evidenze centrate sul paziente in oncologia</w:t>
            </w:r>
          </w:p>
        </w:tc>
        <w:tc>
          <w:tcPr>
            <w:tcW w:type="dxa" w:w="2700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Massimo Di Maio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15.50-16.30</w:t>
            </w:r>
          </w:p>
        </w:tc>
        <w:tc>
          <w:tcPr>
            <w:tcW w:type="dxa" w:w="4826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Conclusioni e prospettive future</w:t>
            </w:r>
          </w:p>
        </w:tc>
        <w:tc>
          <w:tcPr>
            <w:tcW w:type="dxa" w:w="2700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Alfredo Budillon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shd w:fill="EEF2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16.30-17.00</w:t>
            </w:r>
          </w:p>
        </w:tc>
        <w:tc>
          <w:tcPr>
            <w:tcW w:type="dxa" w:w="4826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shd w:fill="EEF2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Test di verifica dell’apprendimento</w:t>
            </w:r>
          </w:p>
        </w:tc>
        <w:tc>
          <w:tcPr>
            <w:tcW w:type="dxa" w:w="2700"/>
            <w:tcBorders>
              <w:top w:val="single" w:color="9AA9C7" w:sz="4"/>
              <w:left w:val="single" w:color="9AA9C7" w:sz="4"/>
              <w:bottom w:val="single" w:color="9AA9C7" w:sz="4"/>
              <w:right w:val="single" w:color="9AA9C7" w:sz="4"/>
            </w:tcBorders>
            <w:shd w:fill="EEF2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</w:tbl>
    <w:sectPr>
      <w:pgSz w:w="11906" w:h="16838" w:orient="portrait"/>
      <w:pgMar w:top="1134" w:right="1440" w:bottom="1134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2026-10-09T14:01:36.683Z</dcterms:created>
  <dcterms:modified xsi:type="dcterms:W3CDTF">2026-10-09T14:01:36.690Z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